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02E2" w14:textId="77777777" w:rsidR="00883BC0" w:rsidRDefault="00883BC0" w:rsidP="00883BC0">
      <w:pPr>
        <w:tabs>
          <w:tab w:val="left" w:pos="1095"/>
        </w:tabs>
        <w:spacing w:after="3927" w:line="259" w:lineRule="auto"/>
        <w:ind w:left="108" w:firstLine="0"/>
      </w:pPr>
      <w:r>
        <w:rPr>
          <w:noProof/>
        </w:rPr>
        <w:drawing>
          <wp:anchor distT="0" distB="0" distL="114300" distR="114300" simplePos="0" relativeHeight="251659264" behindDoc="1" locked="0" layoutInCell="1" allowOverlap="1" wp14:anchorId="25BFCF38" wp14:editId="1551D1FD">
            <wp:simplePos x="0" y="0"/>
            <wp:positionH relativeFrom="margin">
              <wp:posOffset>2314575</wp:posOffset>
            </wp:positionH>
            <wp:positionV relativeFrom="paragraph">
              <wp:posOffset>676275</wp:posOffset>
            </wp:positionV>
            <wp:extent cx="1828004" cy="905239"/>
            <wp:effectExtent l="0" t="0" r="127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tretch>
                      <a:fillRect/>
                    </a:stretch>
                  </pic:blipFill>
                  <pic:spPr>
                    <a:xfrm>
                      <a:off x="0" y="0"/>
                      <a:ext cx="1828004" cy="905239"/>
                    </a:xfrm>
                    <a:prstGeom prst="rect">
                      <a:avLst/>
                    </a:prstGeom>
                  </pic:spPr>
                </pic:pic>
              </a:graphicData>
            </a:graphic>
            <wp14:sizeRelH relativeFrom="page">
              <wp14:pctWidth>0</wp14:pctWidth>
            </wp14:sizeRelH>
            <wp14:sizeRelV relativeFrom="page">
              <wp14:pctHeight>0</wp14:pctHeight>
            </wp14:sizeRelV>
          </wp:anchor>
        </w:drawing>
      </w:r>
    </w:p>
    <w:p w14:paraId="53AA7B9B" w14:textId="77777777" w:rsidR="00883BC0" w:rsidRDefault="00883BC0" w:rsidP="00883BC0">
      <w:pPr>
        <w:spacing w:after="704" w:line="263" w:lineRule="auto"/>
        <w:ind w:left="0" w:firstLine="0"/>
      </w:pPr>
      <w:r>
        <w:rPr>
          <w:b/>
          <w:sz w:val="48"/>
        </w:rPr>
        <w:t>Tyne &amp; Wear Archives &amp; Museums</w:t>
      </w:r>
    </w:p>
    <w:p w14:paraId="4E54CB8A" w14:textId="77777777" w:rsidR="00883BC0" w:rsidRPr="00883BC0" w:rsidRDefault="00883BC0" w:rsidP="00883BC0">
      <w:pPr>
        <w:spacing w:after="0" w:line="259" w:lineRule="auto"/>
        <w:ind w:left="-5"/>
        <w:rPr>
          <w:sz w:val="36"/>
          <w:szCs w:val="36"/>
        </w:rPr>
      </w:pPr>
      <w:r w:rsidRPr="00883BC0">
        <w:rPr>
          <w:b/>
          <w:sz w:val="36"/>
          <w:szCs w:val="36"/>
        </w:rPr>
        <w:t>Employees - Interests and Gifts and Hospitality Policy</w:t>
      </w:r>
    </w:p>
    <w:p w14:paraId="26114BFE" w14:textId="77777777" w:rsidR="00883BC0" w:rsidRDefault="00883BC0" w:rsidP="00883BC0">
      <w:pPr>
        <w:spacing w:after="890" w:line="265" w:lineRule="auto"/>
        <w:ind w:left="103"/>
        <w:rPr>
          <w:sz w:val="28"/>
        </w:rPr>
      </w:pPr>
    </w:p>
    <w:p w14:paraId="009D2778" w14:textId="77777777" w:rsidR="00883BC0" w:rsidRDefault="00883BC0" w:rsidP="00883BC0">
      <w:pPr>
        <w:spacing w:after="890" w:line="265" w:lineRule="auto"/>
        <w:ind w:left="103"/>
      </w:pPr>
      <w:r>
        <w:rPr>
          <w:sz w:val="28"/>
        </w:rPr>
        <w:t>Name of governing body: Tyne &amp; Wear Archives &amp; Museums Strategic Board</w:t>
      </w:r>
    </w:p>
    <w:p w14:paraId="27FFD20E" w14:textId="1275F4A1" w:rsidR="00883BC0" w:rsidRDefault="00883BC0" w:rsidP="00883BC0">
      <w:pPr>
        <w:spacing w:after="60" w:line="265" w:lineRule="auto"/>
        <w:ind w:left="103"/>
      </w:pPr>
      <w:r>
        <w:rPr>
          <w:sz w:val="28"/>
        </w:rPr>
        <w:t xml:space="preserve">Date of approval by governing body: </w:t>
      </w:r>
      <w:r w:rsidR="00DF07B0">
        <w:rPr>
          <w:sz w:val="28"/>
        </w:rPr>
        <w:t>December</w:t>
      </w:r>
      <w:r w:rsidR="008A18E5">
        <w:rPr>
          <w:sz w:val="28"/>
        </w:rPr>
        <w:t xml:space="preserve"> 2018</w:t>
      </w:r>
    </w:p>
    <w:p w14:paraId="1C2A240D" w14:textId="3F8E65BF" w:rsidR="00883BC0" w:rsidRDefault="00883BC0" w:rsidP="00883BC0">
      <w:pPr>
        <w:spacing w:after="60" w:line="265" w:lineRule="auto"/>
        <w:ind w:left="103"/>
        <w:rPr>
          <w:sz w:val="28"/>
        </w:rPr>
      </w:pPr>
      <w:r>
        <w:rPr>
          <w:sz w:val="28"/>
        </w:rPr>
        <w:t xml:space="preserve">Date for review: </w:t>
      </w:r>
      <w:r w:rsidR="00DF07B0">
        <w:rPr>
          <w:sz w:val="28"/>
        </w:rPr>
        <w:t>December</w:t>
      </w:r>
      <w:r w:rsidR="00EB5282">
        <w:rPr>
          <w:sz w:val="28"/>
        </w:rPr>
        <w:t xml:space="preserve"> 202</w:t>
      </w:r>
      <w:r w:rsidR="00E20F92">
        <w:rPr>
          <w:sz w:val="28"/>
        </w:rPr>
        <w:t>1</w:t>
      </w:r>
    </w:p>
    <w:p w14:paraId="17B5D836" w14:textId="77777777" w:rsidR="00883BC0" w:rsidRDefault="00883BC0" w:rsidP="00883BC0">
      <w:pPr>
        <w:spacing w:after="60" w:line="265" w:lineRule="auto"/>
        <w:ind w:left="103"/>
        <w:rPr>
          <w:sz w:val="28"/>
        </w:rPr>
      </w:pPr>
    </w:p>
    <w:p w14:paraId="36344468" w14:textId="77777777" w:rsidR="00883BC0" w:rsidRDefault="00883BC0" w:rsidP="00883BC0">
      <w:pPr>
        <w:spacing w:after="60" w:line="265" w:lineRule="auto"/>
        <w:ind w:left="103"/>
        <w:rPr>
          <w:sz w:val="28"/>
        </w:rPr>
      </w:pPr>
    </w:p>
    <w:p w14:paraId="0E310F21" w14:textId="77777777" w:rsidR="00883BC0" w:rsidRDefault="00883BC0" w:rsidP="00883BC0">
      <w:pPr>
        <w:spacing w:after="60" w:line="265" w:lineRule="auto"/>
        <w:ind w:left="103"/>
        <w:rPr>
          <w:sz w:val="28"/>
        </w:rPr>
      </w:pPr>
      <w:bookmarkStart w:id="0" w:name="_GoBack"/>
      <w:bookmarkEnd w:id="0"/>
    </w:p>
    <w:p w14:paraId="0B1E2FC5" w14:textId="77777777" w:rsidR="00883BC0" w:rsidRDefault="00883BC0" w:rsidP="00883BC0">
      <w:pPr>
        <w:spacing w:after="60" w:line="265" w:lineRule="auto"/>
        <w:ind w:left="103"/>
        <w:rPr>
          <w:sz w:val="28"/>
        </w:rPr>
      </w:pPr>
    </w:p>
    <w:p w14:paraId="201B56AF" w14:textId="77777777" w:rsidR="00883BC0" w:rsidRDefault="00883BC0" w:rsidP="00883BC0">
      <w:pPr>
        <w:spacing w:after="60" w:line="265" w:lineRule="auto"/>
        <w:ind w:left="103"/>
        <w:rPr>
          <w:sz w:val="28"/>
        </w:rPr>
      </w:pPr>
    </w:p>
    <w:p w14:paraId="53D9414E" w14:textId="77777777" w:rsidR="00883BC0" w:rsidRDefault="00883BC0" w:rsidP="00883BC0">
      <w:pPr>
        <w:spacing w:after="60" w:line="265" w:lineRule="auto"/>
        <w:ind w:left="103"/>
        <w:rPr>
          <w:sz w:val="28"/>
        </w:rPr>
      </w:pPr>
    </w:p>
    <w:p w14:paraId="50AB1CFC" w14:textId="77777777" w:rsidR="00A3494B" w:rsidRDefault="00A3494B" w:rsidP="00883BC0">
      <w:pPr>
        <w:spacing w:after="60" w:line="265" w:lineRule="auto"/>
        <w:ind w:left="103"/>
        <w:rPr>
          <w:sz w:val="28"/>
        </w:rPr>
      </w:pPr>
    </w:p>
    <w:p w14:paraId="4F83CC9B" w14:textId="77777777" w:rsidR="00A3494B" w:rsidRDefault="00A3494B" w:rsidP="00883BC0">
      <w:pPr>
        <w:spacing w:after="60" w:line="265" w:lineRule="auto"/>
        <w:ind w:left="103"/>
        <w:rPr>
          <w:sz w:val="28"/>
        </w:rPr>
      </w:pPr>
    </w:p>
    <w:p w14:paraId="0E4D4714" w14:textId="77777777" w:rsidR="00A3494B" w:rsidRDefault="00A3494B" w:rsidP="00883BC0">
      <w:pPr>
        <w:spacing w:after="60" w:line="265" w:lineRule="auto"/>
        <w:ind w:left="103"/>
        <w:rPr>
          <w:sz w:val="28"/>
        </w:rPr>
      </w:pPr>
    </w:p>
    <w:p w14:paraId="45AC8BE7" w14:textId="77777777" w:rsidR="00A3494B" w:rsidRDefault="00A3494B" w:rsidP="00883BC0">
      <w:pPr>
        <w:spacing w:after="60" w:line="265" w:lineRule="auto"/>
        <w:ind w:left="103"/>
        <w:rPr>
          <w:sz w:val="28"/>
        </w:rPr>
      </w:pPr>
    </w:p>
    <w:p w14:paraId="077FFB42" w14:textId="77777777" w:rsidR="00883BC0" w:rsidRDefault="00883BC0" w:rsidP="00883BC0">
      <w:pPr>
        <w:spacing w:after="60" w:line="265" w:lineRule="auto"/>
        <w:ind w:left="103"/>
        <w:rPr>
          <w:sz w:val="28"/>
        </w:rPr>
      </w:pPr>
    </w:p>
    <w:p w14:paraId="53D6BA63" w14:textId="77777777" w:rsidR="00883BC0" w:rsidRDefault="00883BC0" w:rsidP="00883BC0">
      <w:pPr>
        <w:spacing w:after="60" w:line="265" w:lineRule="auto"/>
        <w:ind w:left="103"/>
        <w:rPr>
          <w:sz w:val="28"/>
        </w:rPr>
      </w:pPr>
    </w:p>
    <w:p w14:paraId="6FB956A2" w14:textId="77777777" w:rsidR="00204F5B" w:rsidRDefault="001F1556">
      <w:pPr>
        <w:spacing w:after="0" w:line="259" w:lineRule="auto"/>
        <w:ind w:left="-5"/>
      </w:pPr>
      <w:r>
        <w:rPr>
          <w:b/>
          <w:sz w:val="28"/>
        </w:rPr>
        <w:lastRenderedPageBreak/>
        <w:t xml:space="preserve">Employees - Interests and Gifts and Hospitality </w:t>
      </w:r>
    </w:p>
    <w:p w14:paraId="343D698E" w14:textId="77777777" w:rsidR="00204F5B" w:rsidRDefault="001F1556">
      <w:pPr>
        <w:spacing w:after="0" w:line="259" w:lineRule="auto"/>
        <w:ind w:left="0" w:firstLine="0"/>
        <w:rPr>
          <w:b/>
          <w:sz w:val="28"/>
        </w:rPr>
      </w:pPr>
      <w:r>
        <w:rPr>
          <w:b/>
          <w:sz w:val="28"/>
        </w:rPr>
        <w:t xml:space="preserve"> </w:t>
      </w:r>
    </w:p>
    <w:p w14:paraId="33074B39" w14:textId="25AADF24" w:rsidR="0009593F" w:rsidRPr="00963586" w:rsidRDefault="0009593F" w:rsidP="0009593F">
      <w:pPr>
        <w:spacing w:after="209" w:line="259" w:lineRule="auto"/>
        <w:ind w:left="-5"/>
        <w:rPr>
          <w:b/>
        </w:rPr>
      </w:pPr>
      <w:proofErr w:type="spellStart"/>
      <w:r w:rsidRPr="00963586">
        <w:rPr>
          <w:b/>
        </w:rPr>
        <w:t>Guidenote</w:t>
      </w:r>
      <w:proofErr w:type="spellEnd"/>
      <w:r w:rsidRPr="00963586">
        <w:rPr>
          <w:b/>
        </w:rPr>
        <w:t xml:space="preserve"> on TWAM and Newcastle City Council Policies.</w:t>
      </w:r>
    </w:p>
    <w:p w14:paraId="39DD8CFE" w14:textId="77777777" w:rsidR="0009593F" w:rsidRDefault="0009593F" w:rsidP="0009593F">
      <w:pPr>
        <w:rPr>
          <w:rFonts w:ascii="Calibri" w:hAnsi="Calibri"/>
          <w:color w:val="1F497D"/>
          <w:sz w:val="22"/>
          <w:lang w:eastAsia="en-US"/>
        </w:rPr>
      </w:pPr>
    </w:p>
    <w:p w14:paraId="0376CA76" w14:textId="7B9B9CC0" w:rsidR="0009593F" w:rsidRPr="009A4129" w:rsidRDefault="00884901" w:rsidP="0009593F">
      <w:pPr>
        <w:rPr>
          <w:color w:val="000000" w:themeColor="text1"/>
          <w:szCs w:val="24"/>
          <w:lang w:eastAsia="en-US"/>
        </w:rPr>
      </w:pPr>
      <w:r w:rsidRPr="009A4129">
        <w:rPr>
          <w:color w:val="000000" w:themeColor="text1"/>
          <w:szCs w:val="24"/>
          <w:lang w:eastAsia="en-US"/>
        </w:rPr>
        <w:t>Staff at Tyne &amp; Wear Archives &amp;</w:t>
      </w:r>
      <w:r w:rsidR="0009593F" w:rsidRPr="009A4129">
        <w:rPr>
          <w:color w:val="000000" w:themeColor="text1"/>
          <w:szCs w:val="24"/>
          <w:lang w:eastAsia="en-US"/>
        </w:rPr>
        <w:t xml:space="preserve"> Museums </w:t>
      </w:r>
      <w:r w:rsidRPr="009A4129">
        <w:rPr>
          <w:color w:val="000000" w:themeColor="text1"/>
          <w:szCs w:val="24"/>
          <w:lang w:eastAsia="en-US"/>
        </w:rPr>
        <w:t xml:space="preserve">(TWAM) </w:t>
      </w:r>
      <w:r w:rsidR="0009593F" w:rsidRPr="009A4129">
        <w:rPr>
          <w:color w:val="000000" w:themeColor="text1"/>
          <w:szCs w:val="24"/>
          <w:lang w:eastAsia="en-US"/>
        </w:rPr>
        <w:t xml:space="preserve">are employed by Newcastle City Council (NCC). This means, all TWAM employees are required to follow policies and procedures found or referenced within NCC’s </w:t>
      </w:r>
      <w:hyperlink r:id="rId6" w:history="1">
        <w:r w:rsidR="0009593F" w:rsidRPr="009A4129">
          <w:rPr>
            <w:rStyle w:val="Hyperlink"/>
            <w:color w:val="000000" w:themeColor="text1"/>
            <w:szCs w:val="24"/>
            <w:lang w:eastAsia="en-US"/>
          </w:rPr>
          <w:t>Employee Booklet</w:t>
        </w:r>
      </w:hyperlink>
      <w:r w:rsidRPr="009A4129">
        <w:rPr>
          <w:color w:val="000000" w:themeColor="text1"/>
          <w:szCs w:val="24"/>
        </w:rPr>
        <w:t>.</w:t>
      </w:r>
    </w:p>
    <w:p w14:paraId="7F41D0B4" w14:textId="77777777" w:rsidR="0009593F" w:rsidRPr="009A4129" w:rsidRDefault="0009593F" w:rsidP="0009593F">
      <w:pPr>
        <w:rPr>
          <w:color w:val="000000" w:themeColor="text1"/>
          <w:szCs w:val="24"/>
          <w:lang w:eastAsia="en-US"/>
        </w:rPr>
      </w:pPr>
      <w:r w:rsidRPr="009A4129">
        <w:rPr>
          <w:color w:val="000000" w:themeColor="text1"/>
          <w:szCs w:val="24"/>
          <w:lang w:eastAsia="en-US"/>
        </w:rPr>
        <w:t>In addition to these, or in situations where circumstances dictate that a TWAM-specific document is necessary (for example, where named TWAM staff members must be included as points of contact), TWAM has produced its own policies and procedures for employees to follow.</w:t>
      </w:r>
    </w:p>
    <w:p w14:paraId="1AF0804E" w14:textId="77777777" w:rsidR="0009593F" w:rsidRPr="009A4129" w:rsidRDefault="0009593F" w:rsidP="0009593F">
      <w:pPr>
        <w:rPr>
          <w:color w:val="000000" w:themeColor="text1"/>
          <w:szCs w:val="24"/>
          <w:lang w:eastAsia="en-US"/>
        </w:rPr>
      </w:pPr>
    </w:p>
    <w:p w14:paraId="1776EE01" w14:textId="77777777" w:rsidR="0009593F" w:rsidRPr="009A4129" w:rsidRDefault="0009593F" w:rsidP="0009593F">
      <w:pPr>
        <w:rPr>
          <w:color w:val="000000" w:themeColor="text1"/>
          <w:szCs w:val="24"/>
          <w:lang w:eastAsia="en-US"/>
        </w:rPr>
      </w:pPr>
      <w:r w:rsidRPr="009A4129">
        <w:rPr>
          <w:color w:val="000000" w:themeColor="text1"/>
          <w:szCs w:val="24"/>
          <w:lang w:eastAsia="en-US"/>
        </w:rPr>
        <w:t>This Policy is one such example.</w:t>
      </w:r>
    </w:p>
    <w:p w14:paraId="489562A5" w14:textId="77777777" w:rsidR="0009593F" w:rsidRDefault="0009593F">
      <w:pPr>
        <w:spacing w:after="0" w:line="259" w:lineRule="auto"/>
        <w:ind w:left="0" w:firstLine="0"/>
        <w:rPr>
          <w:b/>
          <w:sz w:val="28"/>
        </w:rPr>
      </w:pPr>
    </w:p>
    <w:p w14:paraId="25F63C52" w14:textId="77777777" w:rsidR="0009593F" w:rsidRDefault="0009593F">
      <w:pPr>
        <w:spacing w:after="0" w:line="259" w:lineRule="auto"/>
        <w:ind w:left="0" w:firstLine="0"/>
      </w:pPr>
    </w:p>
    <w:p w14:paraId="7274CA3C" w14:textId="224CA2EF" w:rsidR="008A18E5" w:rsidRDefault="008A18E5">
      <w:pPr>
        <w:spacing w:after="0" w:line="259" w:lineRule="auto"/>
        <w:ind w:left="0" w:firstLine="0"/>
        <w:rPr>
          <w:b/>
        </w:rPr>
      </w:pPr>
      <w:r>
        <w:rPr>
          <w:b/>
        </w:rPr>
        <w:t xml:space="preserve">Personal Interests </w:t>
      </w:r>
    </w:p>
    <w:p w14:paraId="057F65B3" w14:textId="77777777" w:rsidR="008A18E5" w:rsidRDefault="008A18E5">
      <w:pPr>
        <w:spacing w:after="0" w:line="259" w:lineRule="auto"/>
        <w:ind w:left="0" w:firstLine="0"/>
      </w:pPr>
    </w:p>
    <w:p w14:paraId="036D27EC" w14:textId="77777777" w:rsidR="008A18E5" w:rsidRPr="00CD6468" w:rsidRDefault="008A18E5" w:rsidP="008A18E5">
      <w:pPr>
        <w:pStyle w:val="NormalWeb"/>
        <w:shd w:val="clear" w:color="auto" w:fill="FFFFFF"/>
        <w:rPr>
          <w:rFonts w:ascii="Arial" w:hAnsi="Arial" w:cs="Arial"/>
        </w:rPr>
      </w:pPr>
      <w:r w:rsidRPr="00CD6468">
        <w:rPr>
          <w:rFonts w:ascii="Arial" w:hAnsi="Arial" w:cs="Arial"/>
        </w:rPr>
        <w:t xml:space="preserve">Individuals must not allow their outside activities (personal interests) to interfere with the work of TWAM or to affect their ability to carry out their role effectively. </w:t>
      </w:r>
    </w:p>
    <w:p w14:paraId="0DA13C70" w14:textId="77777777" w:rsidR="008A18E5" w:rsidRPr="00CD6468" w:rsidRDefault="008A18E5" w:rsidP="008A18E5">
      <w:pPr>
        <w:pStyle w:val="NormalWeb"/>
        <w:shd w:val="clear" w:color="auto" w:fill="FFFFFF"/>
        <w:rPr>
          <w:rFonts w:ascii="Arial" w:hAnsi="Arial" w:cs="Arial"/>
        </w:rPr>
      </w:pPr>
      <w:r w:rsidRPr="00CD6468">
        <w:rPr>
          <w:rFonts w:ascii="Arial" w:hAnsi="Arial" w:cs="Arial"/>
        </w:rPr>
        <w:t>A ‘conflict of interest’ is considered to be any connection or association with a third party that is (or appears to be) against the best interests of TWAM, or which could enable you to be reasonably suspected of using your position within TWAM to gain an unfair advantage for or from a third party.</w:t>
      </w:r>
    </w:p>
    <w:p w14:paraId="7D9854E6" w14:textId="1393326D" w:rsidR="008A18E5" w:rsidRPr="00CD6468" w:rsidRDefault="008A18E5" w:rsidP="008A18E5">
      <w:pPr>
        <w:pStyle w:val="NormalWeb"/>
        <w:shd w:val="clear" w:color="auto" w:fill="FFFFFF"/>
        <w:rPr>
          <w:rFonts w:ascii="Arial" w:hAnsi="Arial" w:cs="Arial"/>
        </w:rPr>
      </w:pPr>
      <w:r w:rsidRPr="00CD6468">
        <w:rPr>
          <w:rFonts w:ascii="Arial" w:hAnsi="Arial" w:cs="Arial"/>
        </w:rPr>
        <w:t>It is your responsibility to ensure that you are not placed in a position that risks, or appears to risk, compromising your role or statutory duty. You should not be seen to be securing a personal benefit</w:t>
      </w:r>
      <w:r w:rsidR="00CD6811" w:rsidRPr="00CD6468">
        <w:rPr>
          <w:rFonts w:ascii="Arial" w:hAnsi="Arial" w:cs="Arial"/>
        </w:rPr>
        <w:t xml:space="preserve"> or </w:t>
      </w:r>
      <w:r w:rsidRPr="00CD6468">
        <w:rPr>
          <w:rFonts w:ascii="Arial" w:hAnsi="Arial" w:cs="Arial"/>
        </w:rPr>
        <w:t xml:space="preserve">valuable gift </w:t>
      </w:r>
      <w:r w:rsidR="00CD6811" w:rsidRPr="00CD6468">
        <w:rPr>
          <w:rFonts w:ascii="Arial" w:hAnsi="Arial" w:cs="Arial"/>
        </w:rPr>
        <w:t xml:space="preserve">or </w:t>
      </w:r>
      <w:r w:rsidRPr="00CD6468">
        <w:rPr>
          <w:rFonts w:ascii="Arial" w:hAnsi="Arial" w:cs="Arial"/>
        </w:rPr>
        <w:t xml:space="preserve">hospitality by virtue of your job. </w:t>
      </w:r>
    </w:p>
    <w:p w14:paraId="57FDEEF1" w14:textId="77777777" w:rsidR="008A18E5" w:rsidRDefault="008A18E5">
      <w:pPr>
        <w:spacing w:after="0" w:line="259" w:lineRule="auto"/>
        <w:ind w:left="0" w:firstLine="0"/>
      </w:pPr>
    </w:p>
    <w:p w14:paraId="43C48943" w14:textId="77777777" w:rsidR="00204F5B" w:rsidRDefault="001F1556">
      <w:pPr>
        <w:pStyle w:val="Heading1"/>
        <w:ind w:left="-5"/>
      </w:pPr>
      <w:r>
        <w:t xml:space="preserve">Register of Employee Interests </w:t>
      </w:r>
    </w:p>
    <w:p w14:paraId="65D2B6E4" w14:textId="77777777" w:rsidR="00204F5B" w:rsidRDefault="001F1556">
      <w:pPr>
        <w:spacing w:after="0" w:line="259" w:lineRule="auto"/>
        <w:ind w:left="0" w:firstLine="0"/>
      </w:pPr>
      <w:r>
        <w:rPr>
          <w:b/>
        </w:rPr>
        <w:t xml:space="preserve"> </w:t>
      </w:r>
    </w:p>
    <w:p w14:paraId="5FBF23B7" w14:textId="77777777" w:rsidR="00204F5B" w:rsidRDefault="001F1556">
      <w:pPr>
        <w:ind w:left="-5"/>
      </w:pPr>
      <w:r>
        <w:t xml:space="preserve">The Employee Register of Interests is a corporate register which holds details of any financial or other interests that employees may have which could conflict or be seen as conflicting with TWAM’s interests. It forms part of TWAM’s arrangements for ensuring that we meet the highest standards when carrying out TWAM’s business. </w:t>
      </w:r>
    </w:p>
    <w:p w14:paraId="42CA09FC" w14:textId="77777777" w:rsidR="00204F5B" w:rsidRDefault="001F1556">
      <w:pPr>
        <w:spacing w:after="0" w:line="259" w:lineRule="auto"/>
        <w:ind w:left="0" w:firstLine="0"/>
      </w:pPr>
      <w:r>
        <w:t xml:space="preserve"> </w:t>
      </w:r>
    </w:p>
    <w:p w14:paraId="5BEDCE9A" w14:textId="77777777" w:rsidR="00204F5B" w:rsidRDefault="001F1556">
      <w:pPr>
        <w:spacing w:after="0" w:line="259" w:lineRule="auto"/>
        <w:ind w:left="-5"/>
      </w:pPr>
      <w:r>
        <w:rPr>
          <w:b/>
        </w:rPr>
        <w:t xml:space="preserve">Questions to ask yourself: </w:t>
      </w:r>
    </w:p>
    <w:p w14:paraId="4D1BE3C7" w14:textId="77777777" w:rsidR="00204F5B" w:rsidRDefault="001F1556">
      <w:pPr>
        <w:spacing w:after="0" w:line="259" w:lineRule="auto"/>
        <w:ind w:left="0" w:firstLine="0"/>
      </w:pPr>
      <w:r>
        <w:t xml:space="preserve"> </w:t>
      </w:r>
    </w:p>
    <w:p w14:paraId="41FE3078" w14:textId="77777777" w:rsidR="00204F5B" w:rsidRDefault="001F1556">
      <w:pPr>
        <w:numPr>
          <w:ilvl w:val="0"/>
          <w:numId w:val="1"/>
        </w:numPr>
        <w:ind w:hanging="360"/>
      </w:pPr>
      <w:r>
        <w:t xml:space="preserve">Am I, or might I be, in a position where I (or my family/friends) could gain from the connection between my private interests and my employment with TWAM?  </w:t>
      </w:r>
    </w:p>
    <w:p w14:paraId="4F964A01" w14:textId="77777777" w:rsidR="00204F5B" w:rsidRDefault="001F1556">
      <w:pPr>
        <w:numPr>
          <w:ilvl w:val="0"/>
          <w:numId w:val="1"/>
        </w:numPr>
        <w:ind w:hanging="360"/>
      </w:pPr>
      <w:r>
        <w:t xml:space="preserve">Do I have access to information which could influence purchasing decisions?  </w:t>
      </w:r>
    </w:p>
    <w:p w14:paraId="53A1DD1B" w14:textId="77777777" w:rsidR="00204F5B" w:rsidRDefault="001F1556">
      <w:pPr>
        <w:numPr>
          <w:ilvl w:val="0"/>
          <w:numId w:val="1"/>
        </w:numPr>
        <w:ind w:hanging="360"/>
      </w:pPr>
      <w:r>
        <w:t xml:space="preserve">Could my outside interest be in any way detrimental to TWAM or its users’ interests?  </w:t>
      </w:r>
    </w:p>
    <w:p w14:paraId="03AC3F5C" w14:textId="77777777" w:rsidR="00204F5B" w:rsidRDefault="001F1556">
      <w:pPr>
        <w:numPr>
          <w:ilvl w:val="0"/>
          <w:numId w:val="1"/>
        </w:numPr>
        <w:ind w:hanging="360"/>
      </w:pPr>
      <w:r>
        <w:t xml:space="preserve">Do I have any other reason to think I may be risking a conflict of interest?  </w:t>
      </w:r>
    </w:p>
    <w:p w14:paraId="02076B24" w14:textId="77777777" w:rsidR="00204F5B" w:rsidRDefault="001F1556">
      <w:pPr>
        <w:numPr>
          <w:ilvl w:val="0"/>
          <w:numId w:val="1"/>
        </w:numPr>
        <w:ind w:hanging="360"/>
      </w:pPr>
      <w:r>
        <w:t xml:space="preserve">Am I graded at N6 or above, and want/have a job in addition to my work with TWAM? </w:t>
      </w:r>
    </w:p>
    <w:p w14:paraId="71A5F8D3" w14:textId="77777777" w:rsidR="00204F5B" w:rsidRDefault="001F1556">
      <w:pPr>
        <w:spacing w:after="0" w:line="259" w:lineRule="auto"/>
        <w:ind w:left="360" w:firstLine="0"/>
      </w:pPr>
      <w:r>
        <w:rPr>
          <w:b/>
        </w:rPr>
        <w:t xml:space="preserve"> </w:t>
      </w:r>
    </w:p>
    <w:p w14:paraId="0747B211" w14:textId="24457E5F" w:rsidR="00204F5B" w:rsidRDefault="001F1556">
      <w:pPr>
        <w:ind w:left="-5"/>
      </w:pPr>
      <w:r>
        <w:t xml:space="preserve">If the answer </w:t>
      </w:r>
      <w:r w:rsidR="00CD6811">
        <w:t xml:space="preserve">to any of these </w:t>
      </w:r>
      <w:r>
        <w:t xml:space="preserve">is ‘Yes’ or ‘Maybe’ - </w:t>
      </w:r>
      <w:r>
        <w:rPr>
          <w:b/>
        </w:rPr>
        <w:t>Declare it!</w:t>
      </w:r>
    </w:p>
    <w:p w14:paraId="6486E082" w14:textId="77777777" w:rsidR="00204F5B" w:rsidRDefault="001F1556">
      <w:pPr>
        <w:spacing w:after="0" w:line="259" w:lineRule="auto"/>
        <w:ind w:left="0" w:firstLine="0"/>
      </w:pPr>
      <w:r>
        <w:rPr>
          <w:b/>
        </w:rPr>
        <w:t xml:space="preserve"> </w:t>
      </w:r>
    </w:p>
    <w:p w14:paraId="255FCD1F" w14:textId="77777777" w:rsidR="00204F5B" w:rsidRDefault="001F1556">
      <w:pPr>
        <w:spacing w:after="0" w:line="259" w:lineRule="auto"/>
        <w:ind w:left="0" w:firstLine="0"/>
      </w:pPr>
      <w:r>
        <w:rPr>
          <w:b/>
        </w:rPr>
        <w:t xml:space="preserve"> </w:t>
      </w:r>
    </w:p>
    <w:p w14:paraId="51C248F9" w14:textId="77777777" w:rsidR="00FE473B" w:rsidRDefault="00FE473B">
      <w:pPr>
        <w:spacing w:after="0" w:line="259" w:lineRule="auto"/>
        <w:ind w:left="-5"/>
        <w:rPr>
          <w:b/>
        </w:rPr>
      </w:pPr>
    </w:p>
    <w:p w14:paraId="464E8A25" w14:textId="77777777" w:rsidR="00FE473B" w:rsidRDefault="00FE473B">
      <w:pPr>
        <w:spacing w:after="0" w:line="259" w:lineRule="auto"/>
        <w:ind w:left="-5"/>
        <w:rPr>
          <w:b/>
        </w:rPr>
      </w:pPr>
    </w:p>
    <w:p w14:paraId="674CD555" w14:textId="25764C01" w:rsidR="00204F5B" w:rsidRDefault="001F1556">
      <w:pPr>
        <w:spacing w:after="0" w:line="259" w:lineRule="auto"/>
        <w:ind w:left="-5"/>
      </w:pPr>
      <w:r>
        <w:rPr>
          <w:b/>
        </w:rPr>
        <w:lastRenderedPageBreak/>
        <w:t xml:space="preserve">There are seven forms available for making Declarations: </w:t>
      </w:r>
    </w:p>
    <w:p w14:paraId="09A10B21" w14:textId="77777777" w:rsidR="00204F5B" w:rsidRDefault="001F1556">
      <w:pPr>
        <w:spacing w:after="0" w:line="259" w:lineRule="auto"/>
        <w:ind w:left="0" w:firstLine="0"/>
      </w:pPr>
      <w:r>
        <w:rPr>
          <w:b/>
        </w:rPr>
        <w:t xml:space="preserve"> </w:t>
      </w:r>
    </w:p>
    <w:p w14:paraId="02349E06" w14:textId="77777777" w:rsidR="00204F5B" w:rsidRDefault="001F1556">
      <w:pPr>
        <w:numPr>
          <w:ilvl w:val="0"/>
          <w:numId w:val="1"/>
        </w:numPr>
        <w:ind w:hanging="360"/>
      </w:pPr>
      <w:r>
        <w:t xml:space="preserve">Form CCE 1: Used to declare relationship with contractors or suppliers </w:t>
      </w:r>
    </w:p>
    <w:p w14:paraId="379F0606" w14:textId="77777777" w:rsidR="00204F5B" w:rsidRDefault="001F1556">
      <w:pPr>
        <w:numPr>
          <w:ilvl w:val="0"/>
          <w:numId w:val="1"/>
        </w:numPr>
        <w:ind w:hanging="360"/>
      </w:pPr>
      <w:r>
        <w:t xml:space="preserve">Form CCE 3: Used for approval of outside interests &amp; employment. </w:t>
      </w:r>
    </w:p>
    <w:p w14:paraId="6AB6F6B6" w14:textId="77777777" w:rsidR="00204F5B" w:rsidRDefault="001F1556">
      <w:pPr>
        <w:numPr>
          <w:ilvl w:val="0"/>
          <w:numId w:val="1"/>
        </w:numPr>
        <w:ind w:hanging="360"/>
      </w:pPr>
      <w:r>
        <w:t xml:space="preserve">Form CCE.4: Used for financial or non-financial interest which could conflict with TWAM’s interests.  </w:t>
      </w:r>
    </w:p>
    <w:p w14:paraId="08238F7E" w14:textId="77777777" w:rsidR="00204F5B" w:rsidRDefault="001F1556">
      <w:pPr>
        <w:numPr>
          <w:ilvl w:val="0"/>
          <w:numId w:val="1"/>
        </w:numPr>
        <w:ind w:hanging="360"/>
      </w:pPr>
      <w:r>
        <w:t xml:space="preserve">Form CCE.5: Used if a member of staff has a financial interest in a TWAM contract. </w:t>
      </w:r>
    </w:p>
    <w:p w14:paraId="5744936A" w14:textId="77777777" w:rsidR="00204F5B" w:rsidRDefault="001F1556">
      <w:pPr>
        <w:numPr>
          <w:ilvl w:val="0"/>
          <w:numId w:val="1"/>
        </w:numPr>
        <w:ind w:hanging="360"/>
      </w:pPr>
      <w:r>
        <w:t xml:space="preserve">Form CCE.6: Used for membership of a secret society or organisation </w:t>
      </w:r>
    </w:p>
    <w:p w14:paraId="7CD81DA6" w14:textId="77777777" w:rsidR="00204F5B" w:rsidRDefault="001F1556">
      <w:pPr>
        <w:numPr>
          <w:ilvl w:val="0"/>
          <w:numId w:val="1"/>
        </w:numPr>
        <w:ind w:hanging="360"/>
      </w:pPr>
      <w:r>
        <w:t xml:space="preserve">Form CCE.7: Used for declaring gifts accepted and significant gifts refused </w:t>
      </w:r>
    </w:p>
    <w:p w14:paraId="09F668D6" w14:textId="77777777" w:rsidR="00204F5B" w:rsidRDefault="001F1556">
      <w:pPr>
        <w:numPr>
          <w:ilvl w:val="0"/>
          <w:numId w:val="1"/>
        </w:numPr>
        <w:ind w:hanging="360"/>
      </w:pPr>
      <w:r>
        <w:t xml:space="preserve">Form CCE.8: Used to request the Director’s approval before accepting any offer of hospitality </w:t>
      </w:r>
    </w:p>
    <w:p w14:paraId="4D209336" w14:textId="77777777" w:rsidR="00204F5B" w:rsidRDefault="001F1556">
      <w:pPr>
        <w:spacing w:after="0" w:line="259" w:lineRule="auto"/>
        <w:ind w:left="0" w:firstLine="0"/>
      </w:pPr>
      <w:r>
        <w:t xml:space="preserve"> </w:t>
      </w:r>
    </w:p>
    <w:p w14:paraId="75BC64AB" w14:textId="77777777" w:rsidR="00204F5B" w:rsidRDefault="001F1556">
      <w:pPr>
        <w:ind w:left="-5"/>
      </w:pPr>
      <w:r>
        <w:t xml:space="preserve">To declare an interest please complete the appropriate form(s) and forward to the Director’s office. </w:t>
      </w:r>
    </w:p>
    <w:p w14:paraId="576EDD18" w14:textId="77777777" w:rsidR="00204F5B" w:rsidRDefault="001F1556">
      <w:pPr>
        <w:spacing w:after="0" w:line="259" w:lineRule="auto"/>
        <w:ind w:left="0" w:firstLine="0"/>
      </w:pPr>
      <w:r>
        <w:t xml:space="preserve"> </w:t>
      </w:r>
    </w:p>
    <w:p w14:paraId="5324CDFD" w14:textId="77777777" w:rsidR="00204F5B" w:rsidRDefault="001F1556">
      <w:pPr>
        <w:ind w:left="-5"/>
      </w:pPr>
      <w:r>
        <w:t xml:space="preserve">These forms are available from the G:\Corporate Policies\Interests, Gifts &amp; Hospitality Policy folder. </w:t>
      </w:r>
    </w:p>
    <w:p w14:paraId="45FF4ECF" w14:textId="77777777" w:rsidR="00A3494B" w:rsidRDefault="00A3494B">
      <w:pPr>
        <w:ind w:left="-5"/>
      </w:pPr>
    </w:p>
    <w:p w14:paraId="0C25FD50" w14:textId="13B5CC5E" w:rsidR="00A3494B" w:rsidRDefault="00A3494B">
      <w:pPr>
        <w:spacing w:after="160" w:line="259" w:lineRule="auto"/>
        <w:ind w:left="0" w:firstLine="0"/>
        <w:rPr>
          <w:b/>
        </w:rPr>
      </w:pPr>
    </w:p>
    <w:p w14:paraId="287399EA" w14:textId="77777777" w:rsidR="00204F5B" w:rsidRDefault="001F1556">
      <w:pPr>
        <w:pStyle w:val="Heading1"/>
        <w:ind w:left="-5"/>
      </w:pPr>
      <w:r>
        <w:t xml:space="preserve">Gifts and Hospitality </w:t>
      </w:r>
    </w:p>
    <w:p w14:paraId="75E47428" w14:textId="77777777" w:rsidR="00204F5B" w:rsidRDefault="001F1556">
      <w:pPr>
        <w:spacing w:after="0" w:line="259" w:lineRule="auto"/>
        <w:ind w:left="0" w:firstLine="0"/>
      </w:pPr>
      <w:r>
        <w:rPr>
          <w:b/>
        </w:rPr>
        <w:t xml:space="preserve"> </w:t>
      </w:r>
    </w:p>
    <w:p w14:paraId="58490DAD" w14:textId="77777777" w:rsidR="00204F5B" w:rsidRDefault="001F1556">
      <w:pPr>
        <w:ind w:left="-5"/>
      </w:pPr>
      <w:r>
        <w:t>In the normal course of undertaking your job you may be offered small gifts or hospitality. These guidance notes are designed to ensure that as a result of the offer, you do not put yourself or TWAM at any risk.</w:t>
      </w:r>
      <w:r>
        <w:rPr>
          <w:i/>
        </w:rPr>
        <w:t xml:space="preserve"> </w:t>
      </w:r>
    </w:p>
    <w:p w14:paraId="059E9C77" w14:textId="77777777" w:rsidR="00204F5B" w:rsidRDefault="001F1556">
      <w:pPr>
        <w:spacing w:after="0" w:line="259" w:lineRule="auto"/>
        <w:ind w:left="0" w:firstLine="0"/>
      </w:pPr>
      <w:r>
        <w:rPr>
          <w:i/>
        </w:rPr>
        <w:t xml:space="preserve"> </w:t>
      </w:r>
    </w:p>
    <w:p w14:paraId="30E522F3" w14:textId="77777777" w:rsidR="00204F5B" w:rsidRDefault="001F1556">
      <w:pPr>
        <w:spacing w:after="44"/>
        <w:ind w:left="-5"/>
      </w:pPr>
      <w:r>
        <w:t xml:space="preserve">Gifts and hospitality can be given to individuals and/or to TWAM. In defining these categories it is important to set out which: </w:t>
      </w:r>
      <w:r>
        <w:rPr>
          <w:i/>
        </w:rPr>
        <w:t xml:space="preserve"> </w:t>
      </w:r>
    </w:p>
    <w:p w14:paraId="5161E60D" w14:textId="676735E0" w:rsidR="00FE473B" w:rsidRDefault="001F1556" w:rsidP="00F77B25">
      <w:pPr>
        <w:pStyle w:val="ListParagraph"/>
        <w:numPr>
          <w:ilvl w:val="0"/>
          <w:numId w:val="5"/>
        </w:numPr>
        <w:ind w:right="1926"/>
      </w:pPr>
      <w:r>
        <w:t xml:space="preserve">can be accepted;  </w:t>
      </w:r>
    </w:p>
    <w:p w14:paraId="6A700139" w14:textId="59373D43" w:rsidR="00FE473B" w:rsidRDefault="001F1556" w:rsidP="00F77B25">
      <w:pPr>
        <w:pStyle w:val="ListParagraph"/>
        <w:numPr>
          <w:ilvl w:val="0"/>
          <w:numId w:val="5"/>
        </w:numPr>
        <w:ind w:right="1926"/>
      </w:pPr>
      <w:r>
        <w:t xml:space="preserve">cannot be accepted;  </w:t>
      </w:r>
    </w:p>
    <w:p w14:paraId="617A9413" w14:textId="6A606FC6" w:rsidR="00204F5B" w:rsidRDefault="001F1556" w:rsidP="00F77B25">
      <w:pPr>
        <w:pStyle w:val="ListParagraph"/>
        <w:numPr>
          <w:ilvl w:val="0"/>
          <w:numId w:val="5"/>
        </w:numPr>
        <w:ind w:right="1926"/>
      </w:pPr>
      <w:r>
        <w:t xml:space="preserve">should be recorded in TWAM’s Gifts &amp; Hospitality Register.  </w:t>
      </w:r>
    </w:p>
    <w:p w14:paraId="1AEE3B4C" w14:textId="1656F4FD" w:rsidR="009A4129" w:rsidRDefault="009A4129" w:rsidP="00884901">
      <w:pPr>
        <w:ind w:right="1926"/>
      </w:pPr>
    </w:p>
    <w:p w14:paraId="6DBF8724" w14:textId="77777777" w:rsidR="009A4129" w:rsidRPr="009A4129" w:rsidRDefault="009A4129" w:rsidP="009A4129">
      <w:pPr>
        <w:ind w:right="1926"/>
      </w:pPr>
      <w:r w:rsidRPr="009A4129">
        <w:t>Gifts (defined as items given without the expectation of receiving anything in return) should not be accepted where they may appear to be disproportionately generous or could reasonably be construed as an inducement to affect a business decision. If you are offered gifts or other benefits (or your partner and family members are offered gifts) arising from your official duties, this could cause a conflict between your private and public duties.</w:t>
      </w:r>
    </w:p>
    <w:p w14:paraId="4F3A91B6" w14:textId="77777777" w:rsidR="009A4129" w:rsidRDefault="009A4129" w:rsidP="009A4129">
      <w:pPr>
        <w:ind w:right="1926"/>
        <w:rPr>
          <w:highlight w:val="yellow"/>
        </w:rPr>
      </w:pPr>
    </w:p>
    <w:p w14:paraId="67B057C7" w14:textId="1445A794" w:rsidR="009A4129" w:rsidRPr="009A4129" w:rsidRDefault="009A4129" w:rsidP="009A4129">
      <w:pPr>
        <w:ind w:right="1926"/>
      </w:pPr>
      <w:r w:rsidRPr="009A4129">
        <w:t>You must not accept any gift or other benefit offered to you, or your partner or a family member, by:</w:t>
      </w:r>
    </w:p>
    <w:p w14:paraId="7324561D" w14:textId="77777777" w:rsidR="009A4129" w:rsidRPr="009A4129" w:rsidRDefault="009A4129" w:rsidP="00071087">
      <w:pPr>
        <w:pStyle w:val="ListParagraph"/>
        <w:numPr>
          <w:ilvl w:val="0"/>
          <w:numId w:val="6"/>
        </w:numPr>
        <w:ind w:right="1926"/>
      </w:pPr>
      <w:r w:rsidRPr="009A4129">
        <w:t>any person you have provided services to in the course of your official duties or their partner or a family member;</w:t>
      </w:r>
    </w:p>
    <w:p w14:paraId="54089B28" w14:textId="316DA0BB" w:rsidR="009A4129" w:rsidRPr="009A4129" w:rsidRDefault="009A4129" w:rsidP="00071087">
      <w:pPr>
        <w:pStyle w:val="ListParagraph"/>
        <w:numPr>
          <w:ilvl w:val="0"/>
          <w:numId w:val="6"/>
        </w:numPr>
        <w:ind w:right="1926"/>
      </w:pPr>
      <w:r w:rsidRPr="009A4129">
        <w:t xml:space="preserve">any person associated with an organisation which has, or </w:t>
      </w:r>
      <w:r>
        <w:t>wishes to have, dealings with TWAM</w:t>
      </w:r>
      <w:r w:rsidRPr="009A4129">
        <w:t xml:space="preserve">. </w:t>
      </w:r>
    </w:p>
    <w:p w14:paraId="0EACA193" w14:textId="77777777" w:rsidR="009A4129" w:rsidRDefault="009A4129" w:rsidP="009A4129">
      <w:pPr>
        <w:ind w:right="1926"/>
        <w:rPr>
          <w:highlight w:val="yellow"/>
        </w:rPr>
      </w:pPr>
    </w:p>
    <w:p w14:paraId="2EF710B7" w14:textId="77777777" w:rsidR="009A4129" w:rsidRDefault="009A4129" w:rsidP="009A4129">
      <w:pPr>
        <w:ind w:right="1926"/>
      </w:pPr>
      <w:r w:rsidRPr="009A4129">
        <w:t>You must declare any offer of a gift or benefit on the form: CCE.7: and say what action you have taken. The only exception to this rule is where the gift is of token value up to a maximum of £25. A gift will be considered token if by virtue of its nature or branding it has no material commercial value, that is to say, no unrelated third party would reasonably be expected to purchase the item for a sum in excess of £25.</w:t>
      </w:r>
    </w:p>
    <w:p w14:paraId="0A1156A2" w14:textId="2AAEDD86" w:rsidR="00F9370C" w:rsidRDefault="00F9370C" w:rsidP="00F9370C">
      <w:pPr>
        <w:spacing w:after="0" w:line="259" w:lineRule="auto"/>
        <w:ind w:left="0" w:firstLine="0"/>
      </w:pPr>
    </w:p>
    <w:p w14:paraId="56353674" w14:textId="77777777" w:rsidR="00F9370C" w:rsidRDefault="00F9370C" w:rsidP="00F9370C">
      <w:pPr>
        <w:ind w:left="-5"/>
      </w:pPr>
      <w:r>
        <w:t xml:space="preserve">The list below sets out the types of gifts which staff are likely to encounter and which may normally be accepted without disclosure:  </w:t>
      </w:r>
    </w:p>
    <w:p w14:paraId="5276E36B" w14:textId="77777777" w:rsidR="00F9370C" w:rsidRDefault="00F9370C" w:rsidP="00F9370C">
      <w:pPr>
        <w:spacing w:after="0" w:line="259" w:lineRule="auto"/>
        <w:ind w:left="0" w:firstLine="0"/>
      </w:pPr>
      <w:r>
        <w:t xml:space="preserve"> </w:t>
      </w:r>
    </w:p>
    <w:p w14:paraId="35FF7390" w14:textId="77777777" w:rsidR="00F9370C" w:rsidRDefault="00F9370C" w:rsidP="00F9370C">
      <w:pPr>
        <w:tabs>
          <w:tab w:val="center" w:pos="1088"/>
          <w:tab w:val="center" w:pos="3566"/>
          <w:tab w:val="center" w:pos="6955"/>
        </w:tabs>
        <w:ind w:left="0" w:firstLine="0"/>
      </w:pPr>
      <w:r>
        <w:rPr>
          <w:rFonts w:ascii="Calibri" w:eastAsia="Calibri" w:hAnsi="Calibri" w:cs="Calibri"/>
          <w:sz w:val="22"/>
        </w:rPr>
        <w:tab/>
      </w:r>
      <w:r>
        <w:t xml:space="preserve">Calendars </w:t>
      </w:r>
      <w:r>
        <w:tab/>
        <w:t xml:space="preserve">Mugs; </w:t>
      </w:r>
      <w:r>
        <w:tab/>
        <w:t xml:space="preserve">Mouse mats </w:t>
      </w:r>
    </w:p>
    <w:p w14:paraId="2401202C" w14:textId="77777777" w:rsidR="00F9370C" w:rsidRDefault="00F9370C" w:rsidP="00F9370C">
      <w:pPr>
        <w:tabs>
          <w:tab w:val="center" w:pos="913"/>
          <w:tab w:val="center" w:pos="3781"/>
          <w:tab w:val="center" w:pos="6708"/>
        </w:tabs>
        <w:ind w:left="0" w:firstLine="0"/>
      </w:pPr>
      <w:r>
        <w:rPr>
          <w:rFonts w:ascii="Calibri" w:eastAsia="Calibri" w:hAnsi="Calibri" w:cs="Calibri"/>
          <w:sz w:val="22"/>
        </w:rPr>
        <w:tab/>
      </w:r>
      <w:r>
        <w:t xml:space="preserve">Diaries </w:t>
      </w:r>
      <w:r>
        <w:tab/>
        <w:t xml:space="preserve">Stationery </w:t>
      </w:r>
      <w:r>
        <w:tab/>
        <w:t xml:space="preserve">Badges </w:t>
      </w:r>
    </w:p>
    <w:p w14:paraId="5A3C0F0D" w14:textId="77777777" w:rsidR="00F9370C" w:rsidRDefault="00F9370C" w:rsidP="00F9370C">
      <w:pPr>
        <w:tabs>
          <w:tab w:val="center" w:pos="1086"/>
          <w:tab w:val="center" w:pos="3721"/>
          <w:tab w:val="center" w:pos="6993"/>
        </w:tabs>
        <w:ind w:left="0" w:firstLine="0"/>
      </w:pPr>
      <w:r>
        <w:rPr>
          <w:rFonts w:ascii="Calibri" w:eastAsia="Calibri" w:hAnsi="Calibri" w:cs="Calibri"/>
          <w:sz w:val="22"/>
        </w:rPr>
        <w:tab/>
      </w:r>
      <w:r>
        <w:t xml:space="preserve">Key Rings </w:t>
      </w:r>
      <w:r>
        <w:tab/>
        <w:t xml:space="preserve">Coasters </w:t>
      </w:r>
      <w:r>
        <w:tab/>
        <w:t xml:space="preserve">Ties/Scarves </w:t>
      </w:r>
    </w:p>
    <w:p w14:paraId="4D1A421C" w14:textId="77777777" w:rsidR="00F9370C" w:rsidRDefault="00F9370C" w:rsidP="00F9370C">
      <w:pPr>
        <w:tabs>
          <w:tab w:val="center" w:pos="1434"/>
          <w:tab w:val="center" w:pos="4487"/>
          <w:tab w:val="center" w:pos="7075"/>
        </w:tabs>
        <w:ind w:left="0" w:firstLine="0"/>
      </w:pPr>
      <w:r>
        <w:rPr>
          <w:rFonts w:ascii="Calibri" w:eastAsia="Calibri" w:hAnsi="Calibri" w:cs="Calibri"/>
          <w:sz w:val="22"/>
        </w:rPr>
        <w:tab/>
      </w:r>
      <w:r>
        <w:t xml:space="preserve">Desk Organisers </w:t>
      </w:r>
      <w:r>
        <w:tab/>
        <w:t xml:space="preserve">Commemorative Books </w:t>
      </w:r>
      <w:r>
        <w:tab/>
        <w:t xml:space="preserve">Baseball Caps </w:t>
      </w:r>
    </w:p>
    <w:p w14:paraId="03670497" w14:textId="77777777" w:rsidR="00F9370C" w:rsidRDefault="00F9370C" w:rsidP="00F9370C">
      <w:pPr>
        <w:tabs>
          <w:tab w:val="center" w:pos="815"/>
          <w:tab w:val="center" w:pos="3781"/>
          <w:tab w:val="center" w:pos="6588"/>
        </w:tabs>
        <w:ind w:left="0" w:firstLine="0"/>
      </w:pPr>
      <w:r>
        <w:rPr>
          <w:rFonts w:ascii="Calibri" w:eastAsia="Calibri" w:hAnsi="Calibri" w:cs="Calibri"/>
          <w:sz w:val="22"/>
        </w:rPr>
        <w:tab/>
      </w:r>
      <w:r>
        <w:t xml:space="preserve">Pens </w:t>
      </w:r>
      <w:r>
        <w:tab/>
        <w:t xml:space="preserve">Umbrellas </w:t>
      </w:r>
      <w:r>
        <w:tab/>
        <w:t xml:space="preserve"> </w:t>
      </w:r>
    </w:p>
    <w:p w14:paraId="6D2BA04E" w14:textId="77777777" w:rsidR="00F9370C" w:rsidRDefault="00F9370C" w:rsidP="009A4129">
      <w:pPr>
        <w:ind w:right="1926"/>
      </w:pPr>
    </w:p>
    <w:p w14:paraId="52D5915D" w14:textId="11F9DEE1" w:rsidR="009A4129" w:rsidRPr="009A4129" w:rsidRDefault="009A4129" w:rsidP="009A4129">
      <w:pPr>
        <w:ind w:right="1926"/>
      </w:pPr>
      <w:r w:rsidRPr="009A4129">
        <w:t xml:space="preserve">Although offering gifts is common practice in the business world particularly at Christmas time, you should refuse them politely.  If, for example, a gift is simply delivered to your place of work, there may be a problem returning it, in which case, you should report this to </w:t>
      </w:r>
      <w:r w:rsidR="00CD6811">
        <w:t>the</w:t>
      </w:r>
      <w:r w:rsidR="00CD6811" w:rsidRPr="009A4129">
        <w:t xml:space="preserve"> </w:t>
      </w:r>
      <w:r w:rsidRPr="009A4129">
        <w:t xml:space="preserve">Director. </w:t>
      </w:r>
    </w:p>
    <w:p w14:paraId="368F87E7" w14:textId="2175E522" w:rsidR="00204F5B" w:rsidRPr="009A4129" w:rsidRDefault="009A4129" w:rsidP="009A4129">
      <w:pPr>
        <w:ind w:right="1926"/>
        <w:rPr>
          <w:highlight w:val="yellow"/>
        </w:rPr>
      </w:pPr>
      <w:r>
        <w:rPr>
          <w:highlight w:val="yellow"/>
        </w:rPr>
        <w:t xml:space="preserve"> </w:t>
      </w:r>
    </w:p>
    <w:p w14:paraId="3B5D6B15" w14:textId="77777777" w:rsidR="00204F5B" w:rsidRDefault="001F1556">
      <w:pPr>
        <w:spacing w:after="0" w:line="259" w:lineRule="auto"/>
        <w:ind w:left="360" w:firstLine="0"/>
      </w:pPr>
      <w:r>
        <w:t xml:space="preserve"> </w:t>
      </w:r>
    </w:p>
    <w:p w14:paraId="09E1C705" w14:textId="77777777" w:rsidR="00204F5B" w:rsidRDefault="001F1556">
      <w:pPr>
        <w:pStyle w:val="Heading1"/>
        <w:ind w:left="-5"/>
      </w:pPr>
      <w:r>
        <w:t xml:space="preserve">Responsibilities </w:t>
      </w:r>
    </w:p>
    <w:p w14:paraId="359CBBBF" w14:textId="77777777" w:rsidR="00204F5B" w:rsidRDefault="001F1556">
      <w:pPr>
        <w:spacing w:after="0" w:line="259" w:lineRule="auto"/>
        <w:ind w:left="0" w:firstLine="0"/>
      </w:pPr>
      <w:r>
        <w:rPr>
          <w:b/>
        </w:rPr>
        <w:t xml:space="preserve"> </w:t>
      </w:r>
    </w:p>
    <w:p w14:paraId="58DB5950" w14:textId="77777777" w:rsidR="00204F5B" w:rsidRDefault="001F1556">
      <w:pPr>
        <w:ind w:left="-5"/>
      </w:pPr>
      <w:r>
        <w:rPr>
          <w:b/>
        </w:rPr>
        <w:t>All staff</w:t>
      </w:r>
      <w:r>
        <w:t xml:space="preserve"> are responsible for:  </w:t>
      </w:r>
    </w:p>
    <w:p w14:paraId="71FE447A" w14:textId="77777777" w:rsidR="00204F5B" w:rsidRDefault="001F1556">
      <w:pPr>
        <w:spacing w:after="0" w:line="259" w:lineRule="auto"/>
        <w:ind w:left="0" w:firstLine="0"/>
      </w:pPr>
      <w:r>
        <w:t xml:space="preserve">  </w:t>
      </w:r>
      <w:r>
        <w:rPr>
          <w:b/>
        </w:rPr>
        <w:t xml:space="preserve"> </w:t>
      </w:r>
    </w:p>
    <w:p w14:paraId="4295E42C" w14:textId="77777777" w:rsidR="00204F5B" w:rsidRDefault="001F1556">
      <w:pPr>
        <w:numPr>
          <w:ilvl w:val="0"/>
          <w:numId w:val="2"/>
        </w:numPr>
        <w:ind w:hanging="360"/>
      </w:pPr>
      <w:r>
        <w:t xml:space="preserve">thinking carefully before accepting any gift or hospitality;  </w:t>
      </w:r>
    </w:p>
    <w:p w14:paraId="0B5F3C89" w14:textId="77777777" w:rsidR="00204F5B" w:rsidRDefault="001F1556">
      <w:pPr>
        <w:numPr>
          <w:ilvl w:val="0"/>
          <w:numId w:val="2"/>
        </w:numPr>
        <w:ind w:hanging="360"/>
      </w:pPr>
      <w:r>
        <w:t xml:space="preserve">consulting their line manager, in the first instance, or senior manager if in any doubt as to the right thing to do;  </w:t>
      </w:r>
    </w:p>
    <w:p w14:paraId="5FA2115C" w14:textId="77777777" w:rsidR="00204F5B" w:rsidRDefault="001F1556">
      <w:pPr>
        <w:numPr>
          <w:ilvl w:val="0"/>
          <w:numId w:val="2"/>
        </w:numPr>
        <w:ind w:hanging="360"/>
      </w:pPr>
      <w:r>
        <w:t xml:space="preserve">being aware of the arrangements and procedures for reporting offers of gifts and hospitality;  </w:t>
      </w:r>
    </w:p>
    <w:p w14:paraId="6780DC19" w14:textId="77777777" w:rsidR="00204F5B" w:rsidRDefault="001F1556">
      <w:pPr>
        <w:numPr>
          <w:ilvl w:val="0"/>
          <w:numId w:val="2"/>
        </w:numPr>
        <w:ind w:hanging="360"/>
      </w:pPr>
      <w:r>
        <w:t xml:space="preserve">reporting, where appropriate, any expensive gifts and/or significant hospitality received by completing a declaration form for recording in the Gifts and Hospitality Register;  </w:t>
      </w:r>
    </w:p>
    <w:p w14:paraId="55889794" w14:textId="77777777" w:rsidR="00204F5B" w:rsidRDefault="001F1556">
      <w:pPr>
        <w:numPr>
          <w:ilvl w:val="0"/>
          <w:numId w:val="2"/>
        </w:numPr>
        <w:ind w:hanging="360"/>
      </w:pPr>
      <w:r>
        <w:t xml:space="preserve">informing their line manager if they suspect that they have been offered an expensive gift or significant hospitality with corrupt intent;  </w:t>
      </w:r>
    </w:p>
    <w:p w14:paraId="742BE334" w14:textId="77777777" w:rsidR="00204F5B" w:rsidRDefault="001F1556">
      <w:pPr>
        <w:numPr>
          <w:ilvl w:val="0"/>
          <w:numId w:val="2"/>
        </w:numPr>
        <w:ind w:hanging="360"/>
      </w:pPr>
      <w:r>
        <w:t xml:space="preserve">not accepting gifts valued at more than £25. </w:t>
      </w:r>
    </w:p>
    <w:p w14:paraId="52B824F2" w14:textId="77777777" w:rsidR="00204F5B" w:rsidRDefault="001F1556">
      <w:pPr>
        <w:spacing w:after="0" w:line="259" w:lineRule="auto"/>
        <w:ind w:left="540" w:firstLine="0"/>
      </w:pPr>
      <w:r>
        <w:t xml:space="preserve"> </w:t>
      </w:r>
    </w:p>
    <w:p w14:paraId="62FFB94E" w14:textId="6E55FE54" w:rsidR="009A4129" w:rsidRDefault="001F1556" w:rsidP="00F9370C">
      <w:pPr>
        <w:spacing w:after="0" w:line="259" w:lineRule="auto"/>
        <w:ind w:left="540" w:firstLine="0"/>
      </w:pPr>
      <w:r>
        <w:t xml:space="preserve"> </w:t>
      </w:r>
    </w:p>
    <w:p w14:paraId="6830F4CF" w14:textId="77777777" w:rsidR="00204F5B" w:rsidRDefault="001F1556">
      <w:pPr>
        <w:pStyle w:val="Heading1"/>
        <w:ind w:left="-5"/>
      </w:pPr>
      <w:r>
        <w:t xml:space="preserve">Hospitality </w:t>
      </w:r>
    </w:p>
    <w:p w14:paraId="392CA761" w14:textId="77777777" w:rsidR="00204F5B" w:rsidRDefault="001F1556">
      <w:pPr>
        <w:spacing w:after="0" w:line="259" w:lineRule="auto"/>
        <w:ind w:left="0" w:firstLine="0"/>
      </w:pPr>
      <w:r>
        <w:rPr>
          <w:b/>
        </w:rPr>
        <w:t xml:space="preserve"> </w:t>
      </w:r>
    </w:p>
    <w:p w14:paraId="011E0996" w14:textId="77777777" w:rsidR="00204F5B" w:rsidRDefault="001F1556">
      <w:pPr>
        <w:ind w:left="-5"/>
      </w:pPr>
      <w:r>
        <w:t xml:space="preserve">Careful consideration should be given to offers of hospitality. Offers that could reasonably be construed to give the impression that the officer is being inappropriately influenced should be refused. Public perception is important and this guidance is designed to protect you whilst you are carrying out the duties of your job. </w:t>
      </w:r>
    </w:p>
    <w:p w14:paraId="78626EB2" w14:textId="77777777" w:rsidR="00204F5B" w:rsidRDefault="001F1556">
      <w:pPr>
        <w:spacing w:after="0" w:line="259" w:lineRule="auto"/>
        <w:ind w:left="0" w:firstLine="0"/>
      </w:pPr>
      <w:r>
        <w:t xml:space="preserve"> </w:t>
      </w:r>
    </w:p>
    <w:p w14:paraId="733D8D23" w14:textId="77777777" w:rsidR="00204F5B" w:rsidRDefault="001F1556">
      <w:pPr>
        <w:ind w:left="-5"/>
      </w:pPr>
      <w:r>
        <w:t>Offers of hospitality are common in some fields and it would not be practical or necessary to refuse every offer. Details of these circumstances and guidelines for officers in dealing with offers are set out below.</w:t>
      </w:r>
      <w:r>
        <w:rPr>
          <w:b/>
        </w:rPr>
        <w:t xml:space="preserve"> </w:t>
      </w:r>
    </w:p>
    <w:p w14:paraId="1B5C6171" w14:textId="77777777" w:rsidR="00204F5B" w:rsidRDefault="001F1556">
      <w:pPr>
        <w:spacing w:after="0" w:line="259" w:lineRule="auto"/>
        <w:ind w:left="0" w:firstLine="0"/>
      </w:pPr>
      <w:r>
        <w:t xml:space="preserve"> </w:t>
      </w:r>
    </w:p>
    <w:p w14:paraId="4212EAEA" w14:textId="77777777" w:rsidR="00204F5B" w:rsidRDefault="001F1556">
      <w:pPr>
        <w:ind w:left="-5"/>
      </w:pPr>
      <w:r>
        <w:t xml:space="preserve">The permission of the Director should be sought before accepting any hospitality unless specific provision is made for it in this policy. </w:t>
      </w:r>
    </w:p>
    <w:p w14:paraId="6ACAFC0E" w14:textId="77777777" w:rsidR="00204F5B" w:rsidRDefault="001F1556">
      <w:pPr>
        <w:spacing w:after="0" w:line="259" w:lineRule="auto"/>
        <w:ind w:left="0" w:firstLine="0"/>
      </w:pPr>
      <w:r>
        <w:t xml:space="preserve"> </w:t>
      </w:r>
    </w:p>
    <w:p w14:paraId="08349841" w14:textId="77777777" w:rsidR="00204F5B" w:rsidRDefault="001F1556">
      <w:pPr>
        <w:numPr>
          <w:ilvl w:val="0"/>
          <w:numId w:val="3"/>
        </w:numPr>
        <w:ind w:hanging="360"/>
      </w:pPr>
      <w:r>
        <w:t xml:space="preserve">Light refreshments (e.g. </w:t>
      </w:r>
      <w:r w:rsidR="00D56962">
        <w:t>tea, coffee</w:t>
      </w:r>
      <w:r>
        <w:t xml:space="preserve">, biscuits, sandwiches) provided as part of an acceptable event (e.g. working lunch, exhibition launch) are acceptable and do not need to be registered. </w:t>
      </w:r>
    </w:p>
    <w:p w14:paraId="64C1B021" w14:textId="77777777" w:rsidR="00204F5B" w:rsidRDefault="001F1556">
      <w:pPr>
        <w:spacing w:after="0" w:line="259" w:lineRule="auto"/>
        <w:ind w:left="360" w:firstLine="0"/>
      </w:pPr>
      <w:r>
        <w:t xml:space="preserve"> </w:t>
      </w:r>
    </w:p>
    <w:p w14:paraId="758EDCDE" w14:textId="77777777" w:rsidR="00204F5B" w:rsidRDefault="001F1556">
      <w:pPr>
        <w:numPr>
          <w:ilvl w:val="0"/>
          <w:numId w:val="3"/>
        </w:numPr>
        <w:ind w:hanging="360"/>
      </w:pPr>
      <w:r>
        <w:lastRenderedPageBreak/>
        <w:t>Any officer receiving an invitation to dinner or a more formal event, or if he/she has any misgivings about any offer, should request (senior manager) permission before responding</w:t>
      </w:r>
      <w:r w:rsidR="004258EC">
        <w:t>.</w:t>
      </w:r>
      <w:r>
        <w:t xml:space="preserve"> This can include dinner, a concert or a sporting event. </w:t>
      </w:r>
    </w:p>
    <w:p w14:paraId="04BC2CA9" w14:textId="77777777" w:rsidR="00204F5B" w:rsidRDefault="001F1556">
      <w:pPr>
        <w:spacing w:after="0" w:line="259" w:lineRule="auto"/>
        <w:ind w:left="0" w:firstLine="0"/>
      </w:pPr>
      <w:r>
        <w:t xml:space="preserve"> </w:t>
      </w:r>
    </w:p>
    <w:p w14:paraId="4209F42F" w14:textId="77777777" w:rsidR="00204F5B" w:rsidRDefault="001F1556">
      <w:pPr>
        <w:numPr>
          <w:ilvl w:val="0"/>
          <w:numId w:val="3"/>
        </w:numPr>
        <w:ind w:hanging="360"/>
      </w:pPr>
      <w:r>
        <w:t xml:space="preserve">Consideration should be given to who is making the offer, what is their relationship to TWAM, and whether it is likely that they will want something from TWAM. </w:t>
      </w:r>
    </w:p>
    <w:p w14:paraId="12E99009" w14:textId="77777777" w:rsidR="00204F5B" w:rsidRDefault="001F1556">
      <w:pPr>
        <w:spacing w:after="0" w:line="259" w:lineRule="auto"/>
        <w:ind w:left="0" w:firstLine="0"/>
      </w:pPr>
      <w:r>
        <w:t xml:space="preserve"> </w:t>
      </w:r>
    </w:p>
    <w:p w14:paraId="25475E65" w14:textId="77777777" w:rsidR="00204F5B" w:rsidRDefault="001F1556">
      <w:pPr>
        <w:numPr>
          <w:ilvl w:val="0"/>
          <w:numId w:val="3"/>
        </w:numPr>
        <w:ind w:hanging="360"/>
      </w:pPr>
      <w:r>
        <w:t xml:space="preserve">The timing of the offer could be significant. If the offer comes from someone who is expecting any sort of decision from TWAM (i.e. contract, grant) the offer should be refused. </w:t>
      </w:r>
    </w:p>
    <w:p w14:paraId="3DFD1A37" w14:textId="77777777" w:rsidR="00204F5B" w:rsidRDefault="001F1556">
      <w:pPr>
        <w:spacing w:after="0" w:line="259" w:lineRule="auto"/>
        <w:ind w:left="0" w:firstLine="0"/>
      </w:pPr>
      <w:r>
        <w:t xml:space="preserve"> </w:t>
      </w:r>
    </w:p>
    <w:p w14:paraId="31E37B6F" w14:textId="32D9E2C2" w:rsidR="00204F5B" w:rsidRDefault="001F1556">
      <w:pPr>
        <w:numPr>
          <w:ilvl w:val="0"/>
          <w:numId w:val="3"/>
        </w:numPr>
        <w:ind w:hanging="360"/>
      </w:pPr>
      <w:r>
        <w:t xml:space="preserve">Is it reasonable to expect that TWAM be represented at the event? If so, is the officer the appropriate person to represent TWAM? Would it be more appropriate for the Director, a Senior Manager, or the Chair of the </w:t>
      </w:r>
      <w:r w:rsidR="00832615">
        <w:t>Strategic Board</w:t>
      </w:r>
      <w:r w:rsidR="00F9370C">
        <w:t xml:space="preserve"> </w:t>
      </w:r>
      <w:r>
        <w:t xml:space="preserve">to be </w:t>
      </w:r>
      <w:r w:rsidR="00D56962">
        <w:t>present?</w:t>
      </w:r>
      <w:r>
        <w:t xml:space="preserve"> </w:t>
      </w:r>
    </w:p>
    <w:p w14:paraId="7F0327CA" w14:textId="77777777" w:rsidR="00204F5B" w:rsidRDefault="001F1556">
      <w:pPr>
        <w:spacing w:after="0" w:line="259" w:lineRule="auto"/>
        <w:ind w:left="0" w:firstLine="0"/>
      </w:pPr>
      <w:r>
        <w:t xml:space="preserve"> </w:t>
      </w:r>
    </w:p>
    <w:p w14:paraId="371A61C0" w14:textId="77777777" w:rsidR="00204F5B" w:rsidRDefault="001F1556">
      <w:pPr>
        <w:numPr>
          <w:ilvl w:val="0"/>
          <w:numId w:val="3"/>
        </w:numPr>
        <w:ind w:hanging="360"/>
      </w:pPr>
      <w:r>
        <w:t xml:space="preserve">Is it necessary for the officer to be present to receive information of use to TWAM or to give information on behalf of </w:t>
      </w:r>
      <w:r w:rsidR="00D56962">
        <w:t>TWAM?</w:t>
      </w:r>
      <w:r>
        <w:t xml:space="preserve"> </w:t>
      </w:r>
    </w:p>
    <w:p w14:paraId="0A24D5D9" w14:textId="77777777" w:rsidR="00204F5B" w:rsidRDefault="001F1556">
      <w:pPr>
        <w:spacing w:after="0" w:line="259" w:lineRule="auto"/>
        <w:ind w:left="0" w:firstLine="0"/>
      </w:pPr>
      <w:r>
        <w:t xml:space="preserve"> </w:t>
      </w:r>
    </w:p>
    <w:p w14:paraId="422CAA2B" w14:textId="77777777" w:rsidR="00204F5B" w:rsidRDefault="001F1556">
      <w:pPr>
        <w:numPr>
          <w:ilvl w:val="0"/>
          <w:numId w:val="3"/>
        </w:numPr>
        <w:ind w:hanging="360"/>
      </w:pPr>
      <w:r>
        <w:t xml:space="preserve">Will the officer be the only </w:t>
      </w:r>
      <w:r w:rsidR="00D56962">
        <w:t>invitee?</w:t>
      </w:r>
      <w:r>
        <w:t xml:space="preserve">  If so, the invitation should normally be refused. </w:t>
      </w:r>
    </w:p>
    <w:p w14:paraId="46890046" w14:textId="77777777" w:rsidR="00204F5B" w:rsidRDefault="001F1556">
      <w:pPr>
        <w:spacing w:after="0" w:line="259" w:lineRule="auto"/>
        <w:ind w:left="0" w:firstLine="0"/>
      </w:pPr>
      <w:r>
        <w:t xml:space="preserve"> </w:t>
      </w:r>
    </w:p>
    <w:p w14:paraId="10DC504E" w14:textId="77777777" w:rsidR="00204F5B" w:rsidRDefault="001F1556">
      <w:pPr>
        <w:numPr>
          <w:ilvl w:val="0"/>
          <w:numId w:val="3"/>
        </w:numPr>
        <w:ind w:hanging="360"/>
      </w:pPr>
      <w:r>
        <w:t xml:space="preserve">Is the hospitality too generous for the </w:t>
      </w:r>
      <w:r w:rsidR="00D56962">
        <w:t>event?</w:t>
      </w:r>
      <w:r>
        <w:t xml:space="preserve"> There is a danger that such offers could be perceived as an attempt to influence. </w:t>
      </w:r>
    </w:p>
    <w:p w14:paraId="6F016FC3" w14:textId="77777777" w:rsidR="004258EC" w:rsidRDefault="001F1556">
      <w:pPr>
        <w:spacing w:after="0" w:line="259" w:lineRule="auto"/>
        <w:ind w:left="0" w:firstLine="0"/>
      </w:pPr>
      <w:r>
        <w:t xml:space="preserve"> </w:t>
      </w:r>
    </w:p>
    <w:sectPr w:rsidR="004258EC" w:rsidSect="00A3494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1C5F"/>
    <w:multiLevelType w:val="hybridMultilevel"/>
    <w:tmpl w:val="4F3649C6"/>
    <w:lvl w:ilvl="0" w:tplc="8A5EB4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2AD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1AFF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B029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82C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EC1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E29E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5E3D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CA3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3E0FF8"/>
    <w:multiLevelType w:val="hybridMultilevel"/>
    <w:tmpl w:val="C3EA8D2A"/>
    <w:lvl w:ilvl="0" w:tplc="D8A00DEE">
      <w:numFmt w:val="bullet"/>
      <w:lvlText w:val=""/>
      <w:lvlJc w:val="left"/>
      <w:pPr>
        <w:ind w:left="750" w:hanging="360"/>
      </w:pPr>
      <w:rPr>
        <w:rFonts w:ascii="Symbol" w:eastAsia="Courier New"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904CA"/>
    <w:multiLevelType w:val="hybridMultilevel"/>
    <w:tmpl w:val="C2C4730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7402477F"/>
    <w:multiLevelType w:val="hybridMultilevel"/>
    <w:tmpl w:val="32C647C0"/>
    <w:lvl w:ilvl="0" w:tplc="EC38E7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B86CB8">
      <w:start w:val="1"/>
      <w:numFmt w:val="bullet"/>
      <w:lvlText w:val="o"/>
      <w:lvlJc w:val="left"/>
      <w:pPr>
        <w:ind w:left="1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88123C">
      <w:start w:val="1"/>
      <w:numFmt w:val="bullet"/>
      <w:lvlText w:val="▪"/>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C4A14">
      <w:start w:val="1"/>
      <w:numFmt w:val="bullet"/>
      <w:lvlText w:val="•"/>
      <w:lvlJc w:val="left"/>
      <w:pPr>
        <w:ind w:left="2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387AB8">
      <w:start w:val="1"/>
      <w:numFmt w:val="bullet"/>
      <w:lvlText w:val="o"/>
      <w:lvlJc w:val="left"/>
      <w:pPr>
        <w:ind w:left="3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88E0C8">
      <w:start w:val="1"/>
      <w:numFmt w:val="bullet"/>
      <w:lvlText w:val="▪"/>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966AC6">
      <w:start w:val="1"/>
      <w:numFmt w:val="bullet"/>
      <w:lvlText w:val="•"/>
      <w:lvlJc w:val="left"/>
      <w:pPr>
        <w:ind w:left="4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C8A8E0">
      <w:start w:val="1"/>
      <w:numFmt w:val="bullet"/>
      <w:lvlText w:val="o"/>
      <w:lvlJc w:val="left"/>
      <w:pPr>
        <w:ind w:left="5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A860C">
      <w:start w:val="1"/>
      <w:numFmt w:val="bullet"/>
      <w:lvlText w:val="▪"/>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C8298F"/>
    <w:multiLevelType w:val="hybridMultilevel"/>
    <w:tmpl w:val="12E678A4"/>
    <w:lvl w:ilvl="0" w:tplc="A17EF2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D2C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AAA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4825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4C8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B0C3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5E15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0294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78CF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8950A2"/>
    <w:multiLevelType w:val="hybridMultilevel"/>
    <w:tmpl w:val="E4DC5B2E"/>
    <w:lvl w:ilvl="0" w:tplc="D8A00DEE">
      <w:numFmt w:val="bullet"/>
      <w:lvlText w:val=""/>
      <w:lvlJc w:val="left"/>
      <w:pPr>
        <w:ind w:left="750" w:hanging="360"/>
      </w:pPr>
      <w:rPr>
        <w:rFonts w:ascii="Symbol" w:eastAsia="Courier New" w:hAnsi="Symbol" w:cs="Courier New" w:hint="default"/>
        <w:sz w:val="20"/>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5B"/>
    <w:rsid w:val="00071087"/>
    <w:rsid w:val="0009593F"/>
    <w:rsid w:val="001F1556"/>
    <w:rsid w:val="00204F5B"/>
    <w:rsid w:val="002949F2"/>
    <w:rsid w:val="004258EC"/>
    <w:rsid w:val="00832615"/>
    <w:rsid w:val="00883BC0"/>
    <w:rsid w:val="00884901"/>
    <w:rsid w:val="008A18E5"/>
    <w:rsid w:val="009A4129"/>
    <w:rsid w:val="00A3494B"/>
    <w:rsid w:val="00CD6468"/>
    <w:rsid w:val="00CD6811"/>
    <w:rsid w:val="00D56962"/>
    <w:rsid w:val="00DC7BEF"/>
    <w:rsid w:val="00DF07B0"/>
    <w:rsid w:val="00E20F92"/>
    <w:rsid w:val="00EB5282"/>
    <w:rsid w:val="00F77B25"/>
    <w:rsid w:val="00F9370C"/>
    <w:rsid w:val="00FE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38A"/>
  <w15:docId w15:val="{254836EE-AA6B-4DF3-B378-1218BCA2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8A1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E5"/>
    <w:rPr>
      <w:rFonts w:ascii="Segoe UI" w:eastAsia="Arial" w:hAnsi="Segoe UI" w:cs="Segoe UI"/>
      <w:color w:val="000000"/>
      <w:sz w:val="18"/>
      <w:szCs w:val="18"/>
    </w:rPr>
  </w:style>
  <w:style w:type="paragraph" w:styleId="NormalWeb">
    <w:name w:val="Normal (Web)"/>
    <w:basedOn w:val="Normal"/>
    <w:uiPriority w:val="99"/>
    <w:semiHidden/>
    <w:unhideWhenUsed/>
    <w:rsid w:val="008A18E5"/>
    <w:pPr>
      <w:spacing w:after="150" w:line="240" w:lineRule="auto"/>
      <w:ind w:lef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09593F"/>
    <w:rPr>
      <w:sz w:val="16"/>
      <w:szCs w:val="16"/>
    </w:rPr>
  </w:style>
  <w:style w:type="paragraph" w:styleId="CommentText">
    <w:name w:val="annotation text"/>
    <w:basedOn w:val="Normal"/>
    <w:link w:val="CommentTextChar"/>
    <w:uiPriority w:val="99"/>
    <w:semiHidden/>
    <w:unhideWhenUsed/>
    <w:rsid w:val="0009593F"/>
    <w:pPr>
      <w:spacing w:after="13" w:line="240" w:lineRule="auto"/>
    </w:pPr>
    <w:rPr>
      <w:sz w:val="20"/>
      <w:szCs w:val="20"/>
    </w:rPr>
  </w:style>
  <w:style w:type="character" w:customStyle="1" w:styleId="CommentTextChar">
    <w:name w:val="Comment Text Char"/>
    <w:basedOn w:val="DefaultParagraphFont"/>
    <w:link w:val="CommentText"/>
    <w:uiPriority w:val="99"/>
    <w:semiHidden/>
    <w:rsid w:val="0009593F"/>
    <w:rPr>
      <w:rFonts w:ascii="Arial" w:eastAsia="Arial" w:hAnsi="Arial" w:cs="Arial"/>
      <w:color w:val="000000"/>
      <w:sz w:val="20"/>
      <w:szCs w:val="20"/>
    </w:rPr>
  </w:style>
  <w:style w:type="character" w:styleId="Hyperlink">
    <w:name w:val="Hyperlink"/>
    <w:basedOn w:val="DefaultParagraphFont"/>
    <w:uiPriority w:val="99"/>
    <w:semiHidden/>
    <w:unhideWhenUsed/>
    <w:rsid w:val="0009593F"/>
    <w:rPr>
      <w:color w:val="0563C1"/>
      <w:u w:val="single"/>
    </w:rPr>
  </w:style>
  <w:style w:type="paragraph" w:styleId="ListParagraph">
    <w:name w:val="List Paragraph"/>
    <w:basedOn w:val="Normal"/>
    <w:uiPriority w:val="34"/>
    <w:qFormat/>
    <w:rsid w:val="00F7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7299">
      <w:bodyDiv w:val="1"/>
      <w:marLeft w:val="0"/>
      <w:marRight w:val="0"/>
      <w:marTop w:val="0"/>
      <w:marBottom w:val="0"/>
      <w:divBdr>
        <w:top w:val="none" w:sz="0" w:space="0" w:color="auto"/>
        <w:left w:val="none" w:sz="0" w:space="0" w:color="auto"/>
        <w:bottom w:val="none" w:sz="0" w:space="0" w:color="auto"/>
        <w:right w:val="none" w:sz="0" w:space="0" w:color="auto"/>
      </w:divBdr>
      <w:divsChild>
        <w:div w:id="1235970543">
          <w:marLeft w:val="0"/>
          <w:marRight w:val="0"/>
          <w:marTop w:val="0"/>
          <w:marBottom w:val="0"/>
          <w:divBdr>
            <w:top w:val="none" w:sz="0" w:space="0" w:color="auto"/>
            <w:left w:val="none" w:sz="0" w:space="0" w:color="auto"/>
            <w:bottom w:val="none" w:sz="0" w:space="0" w:color="auto"/>
            <w:right w:val="none" w:sz="0" w:space="0" w:color="auto"/>
          </w:divBdr>
          <w:divsChild>
            <w:div w:id="658845554">
              <w:marLeft w:val="0"/>
              <w:marRight w:val="0"/>
              <w:marTop w:val="0"/>
              <w:marBottom w:val="0"/>
              <w:divBdr>
                <w:top w:val="none" w:sz="0" w:space="0" w:color="auto"/>
                <w:left w:val="none" w:sz="0" w:space="0" w:color="auto"/>
                <w:bottom w:val="none" w:sz="0" w:space="0" w:color="auto"/>
                <w:right w:val="none" w:sz="0" w:space="0" w:color="auto"/>
              </w:divBdr>
              <w:divsChild>
                <w:div w:id="899827988">
                  <w:marLeft w:val="0"/>
                  <w:marRight w:val="0"/>
                  <w:marTop w:val="0"/>
                  <w:marBottom w:val="0"/>
                  <w:divBdr>
                    <w:top w:val="none" w:sz="0" w:space="0" w:color="auto"/>
                    <w:left w:val="none" w:sz="0" w:space="0" w:color="auto"/>
                    <w:bottom w:val="none" w:sz="0" w:space="0" w:color="auto"/>
                    <w:right w:val="none" w:sz="0" w:space="0" w:color="auto"/>
                  </w:divBdr>
                  <w:divsChild>
                    <w:div w:id="1348288775">
                      <w:marLeft w:val="0"/>
                      <w:marRight w:val="0"/>
                      <w:marTop w:val="480"/>
                      <w:marBottom w:val="0"/>
                      <w:divBdr>
                        <w:top w:val="none" w:sz="0" w:space="0" w:color="auto"/>
                        <w:left w:val="none" w:sz="0" w:space="0" w:color="auto"/>
                        <w:bottom w:val="none" w:sz="0" w:space="0" w:color="auto"/>
                        <w:right w:val="none" w:sz="0" w:space="0" w:color="auto"/>
                      </w:divBdr>
                      <w:divsChild>
                        <w:div w:id="54790250">
                          <w:marLeft w:val="0"/>
                          <w:marRight w:val="0"/>
                          <w:marTop w:val="1290"/>
                          <w:marBottom w:val="0"/>
                          <w:divBdr>
                            <w:top w:val="none" w:sz="0" w:space="0" w:color="auto"/>
                            <w:left w:val="none" w:sz="0" w:space="0" w:color="auto"/>
                            <w:bottom w:val="none" w:sz="0" w:space="0" w:color="auto"/>
                            <w:right w:val="none" w:sz="0" w:space="0" w:color="auto"/>
                          </w:divBdr>
                          <w:divsChild>
                            <w:div w:id="1594901946">
                              <w:marLeft w:val="0"/>
                              <w:marRight w:val="0"/>
                              <w:marTop w:val="0"/>
                              <w:marBottom w:val="0"/>
                              <w:divBdr>
                                <w:top w:val="none" w:sz="0" w:space="0" w:color="auto"/>
                                <w:left w:val="none" w:sz="0" w:space="0" w:color="auto"/>
                                <w:bottom w:val="none" w:sz="0" w:space="0" w:color="auto"/>
                                <w:right w:val="none" w:sz="0" w:space="0" w:color="auto"/>
                              </w:divBdr>
                              <w:divsChild>
                                <w:div w:id="1602109473">
                                  <w:marLeft w:val="0"/>
                                  <w:marRight w:val="0"/>
                                  <w:marTop w:val="0"/>
                                  <w:marBottom w:val="0"/>
                                  <w:divBdr>
                                    <w:top w:val="none" w:sz="0" w:space="0" w:color="auto"/>
                                    <w:left w:val="none" w:sz="0" w:space="0" w:color="auto"/>
                                    <w:bottom w:val="none" w:sz="0" w:space="0" w:color="auto"/>
                                    <w:right w:val="none" w:sz="0" w:space="0" w:color="auto"/>
                                  </w:divBdr>
                                  <w:divsChild>
                                    <w:div w:id="1316959712">
                                      <w:marLeft w:val="0"/>
                                      <w:marRight w:val="0"/>
                                      <w:marTop w:val="0"/>
                                      <w:marBottom w:val="0"/>
                                      <w:divBdr>
                                        <w:top w:val="none" w:sz="0" w:space="0" w:color="auto"/>
                                        <w:left w:val="none" w:sz="0" w:space="0" w:color="auto"/>
                                        <w:bottom w:val="none" w:sz="0" w:space="0" w:color="auto"/>
                                        <w:right w:val="none" w:sz="0" w:space="0" w:color="auto"/>
                                      </w:divBdr>
                                      <w:divsChild>
                                        <w:div w:id="1331785531">
                                          <w:marLeft w:val="0"/>
                                          <w:marRight w:val="0"/>
                                          <w:marTop w:val="150"/>
                                          <w:marBottom w:val="0"/>
                                          <w:divBdr>
                                            <w:top w:val="none" w:sz="0" w:space="0" w:color="auto"/>
                                            <w:left w:val="none" w:sz="0" w:space="0" w:color="auto"/>
                                            <w:bottom w:val="none" w:sz="0" w:space="0" w:color="auto"/>
                                            <w:right w:val="single" w:sz="6" w:space="9" w:color="C0C0C0"/>
                                          </w:divBdr>
                                          <w:divsChild>
                                            <w:div w:id="1627617851">
                                              <w:marLeft w:val="0"/>
                                              <w:marRight w:val="0"/>
                                              <w:marTop w:val="0"/>
                                              <w:marBottom w:val="0"/>
                                              <w:divBdr>
                                                <w:top w:val="none" w:sz="0" w:space="0" w:color="auto"/>
                                                <w:left w:val="none" w:sz="0" w:space="0" w:color="auto"/>
                                                <w:bottom w:val="none" w:sz="0" w:space="0" w:color="auto"/>
                                                <w:right w:val="none" w:sz="0" w:space="0" w:color="auto"/>
                                              </w:divBdr>
                                              <w:divsChild>
                                                <w:div w:id="108282750">
                                                  <w:marLeft w:val="0"/>
                                                  <w:marRight w:val="0"/>
                                                  <w:marTop w:val="0"/>
                                                  <w:marBottom w:val="0"/>
                                                  <w:divBdr>
                                                    <w:top w:val="none" w:sz="0" w:space="0" w:color="auto"/>
                                                    <w:left w:val="none" w:sz="0" w:space="0" w:color="auto"/>
                                                    <w:bottom w:val="none" w:sz="0" w:space="0" w:color="auto"/>
                                                    <w:right w:val="none" w:sz="0" w:space="0" w:color="auto"/>
                                                  </w:divBdr>
                                                  <w:divsChild>
                                                    <w:div w:id="1971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73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65newcastle.sharepoint.com/sites/POC/hr/PayPensionsRetirement/Documents/Employee%20Booklet%20(Updated%20April%202016).pdf%23search=employee%20bookl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Interests Gifts  Hospitality updated 04-01-13.doc</vt:lpstr>
    </vt:vector>
  </TitlesOfParts>
  <Company>Newcastle City Council</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Interests Gifts  Hospitality updated 04-01-13.doc</dc:title>
  <dc:subject/>
  <dc:creator>U090703</dc:creator>
  <cp:keywords/>
  <cp:lastModifiedBy>Glenn Asher-Gordon</cp:lastModifiedBy>
  <cp:revision>20</cp:revision>
  <cp:lastPrinted>2018-09-13T10:32:00Z</cp:lastPrinted>
  <dcterms:created xsi:type="dcterms:W3CDTF">2017-01-05T09:44:00Z</dcterms:created>
  <dcterms:modified xsi:type="dcterms:W3CDTF">2018-11-28T08:44:00Z</dcterms:modified>
</cp:coreProperties>
</file>